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Adesione convenzioni CONSIP o del Soggetto Aggregatore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nell'aderire a convenzioni CONSIP o del Soggetto Aggregatore di riferimento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</w:t>
            </w:r>
            <w:bookmarkStart w:id="0" w:name="_GoBack"/>
            <w:r w:rsidRPr="00D05028">
              <w:rPr>
                <w:rFonts w:ascii="Arial" w:hAnsi="Arial" w:cs="Arial"/>
                <w:color w:val="000000"/>
              </w:rPr>
              <w:t xml:space="preserve">sul procedimento amministrativo - D.Lgs. </w:t>
            </w:r>
            <w:r w:rsidR="00D05028" w:rsidRPr="00D05028">
              <w:rPr>
                <w:rFonts w:ascii="Arial" w:hAnsi="Arial" w:cs="Arial"/>
                <w:color w:val="000000"/>
              </w:rPr>
              <w:t>36/2023</w:t>
            </w:r>
            <w:r w:rsidRPr="00D05028">
              <w:rPr>
                <w:rFonts w:ascii="Arial" w:hAnsi="Arial" w:cs="Arial"/>
                <w:color w:val="000000"/>
              </w:rPr>
              <w:t xml:space="preserve"> -</w:t>
            </w:r>
            <w:r w:rsidR="00D05028" w:rsidRPr="00D05028">
              <w:rPr>
                <w:rFonts w:ascii="Arial" w:hAnsi="Arial" w:cs="Arial"/>
              </w:rPr>
              <w:t>Delibere, regolamenti e atti dell'ANAC applicabili</w:t>
            </w:r>
            <w:r w:rsidR="00D05028" w:rsidRPr="00D05028">
              <w:rPr>
                <w:rFonts w:ascii="Arial" w:hAnsi="Arial" w:cs="Arial"/>
              </w:rPr>
              <w:t xml:space="preserve">- </w:t>
            </w:r>
            <w:r w:rsidRPr="00D05028">
              <w:rPr>
                <w:rFonts w:ascii="Arial" w:hAnsi="Arial" w:cs="Arial"/>
                <w:color w:val="000000"/>
              </w:rPr>
              <w:t xml:space="preserve">Regolamento di </w:t>
            </w:r>
            <w:proofErr w:type="spellStart"/>
            <w:r w:rsidRPr="00D05028">
              <w:rPr>
                <w:rFonts w:ascii="Arial" w:hAnsi="Arial" w:cs="Arial"/>
                <w:color w:val="000000"/>
              </w:rPr>
              <w:t>contabilita'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</w:t>
            </w:r>
            <w:bookmarkEnd w:id="0"/>
            <w:r w:rsidRPr="007137E0">
              <w:rPr>
                <w:rFonts w:ascii="Arial" w:hAnsi="Arial"/>
                <w:color w:val="000000"/>
              </w:rPr>
              <w:t>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0B61A2" w:rsidRDefault="00995F3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B61A2" w:rsidRDefault="00995F3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B61A2" w:rsidRDefault="00995F3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B61A2" w:rsidRDefault="00995F3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B61A2" w:rsidRDefault="00995F3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995F3C">
              <w:rPr>
                <w:rFonts w:ascii="Arial" w:hAnsi="Arial"/>
                <w:color w:val="000000"/>
              </w:rPr>
              <w:t>E.Q.</w:t>
            </w:r>
            <w:r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0B61A2" w:rsidRDefault="00995F3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0B61A2" w:rsidRDefault="00995F3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0B61A2" w:rsidRDefault="00995F3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0B61A2" w:rsidRDefault="00995F3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0B61A2" w:rsidRDefault="00995F3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8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D0502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D05028">
              <w:rPr>
                <w:rFonts w:ascii="Arial" w:hAnsi="Arial" w:cs="Arial"/>
                <w:color w:val="000000"/>
              </w:rPr>
              <w:t xml:space="preserve">- </w:t>
            </w:r>
            <w:r w:rsidR="00D05028" w:rsidRPr="00D05028">
              <w:rPr>
                <w:rFonts w:ascii="Arial" w:hAnsi="Arial" w:cs="Arial"/>
              </w:rPr>
              <w:t xml:space="preserve">Tutela giurisdizionale: ricorso al TAR ai sensi degli artt. 119 e 120 del </w:t>
            </w:r>
            <w:proofErr w:type="spellStart"/>
            <w:r w:rsidR="00D05028" w:rsidRPr="00D05028">
              <w:rPr>
                <w:rFonts w:ascii="Arial" w:hAnsi="Arial" w:cs="Arial"/>
              </w:rPr>
              <w:t>D.Lgs.</w:t>
            </w:r>
            <w:proofErr w:type="spellEnd"/>
            <w:r w:rsidR="00D05028" w:rsidRPr="00D05028">
              <w:rPr>
                <w:rFonts w:ascii="Arial" w:hAnsi="Arial" w:cs="Arial"/>
              </w:rPr>
              <w:t xml:space="preserve"> 2 luglio 2010, n. 104, da proporre nel termine di 30 giorni decorrente dalla conoscenza dell’atto o, nei casi previsti, dalla comunicazione o pubblicazione dello stesso. Per il ricorso incidentale si applica l’art. 42 del </w:t>
            </w:r>
            <w:proofErr w:type="spellStart"/>
            <w:r w:rsidR="00D05028" w:rsidRPr="00D05028">
              <w:rPr>
                <w:rFonts w:ascii="Arial" w:hAnsi="Arial" w:cs="Arial"/>
              </w:rPr>
              <w:t>D.Lgs.</w:t>
            </w:r>
            <w:proofErr w:type="spellEnd"/>
            <w:r w:rsidR="00D05028" w:rsidRPr="00D05028">
              <w:rPr>
                <w:rFonts w:ascii="Arial" w:hAnsi="Arial" w:cs="Arial"/>
              </w:rPr>
              <w:t xml:space="preserve"> 104/2010.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95F3C" w:rsidP="00995F3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B61A2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95F3C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05028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80E0D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2026-06-14T19:27:00Z</dcterms:modified>
</cp:coreProperties>
</file>